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7" w:rsidRDefault="002C67C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67C7" w:rsidRDefault="002C67C7">
      <w:pPr>
        <w:pStyle w:val="ConsPlusNormal"/>
        <w:outlineLvl w:val="0"/>
      </w:pPr>
    </w:p>
    <w:p w:rsidR="002C67C7" w:rsidRDefault="002C67C7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ПОСТАНОВЛЕНИЕ</w:t>
      </w:r>
    </w:p>
    <w:p w:rsidR="002C67C7" w:rsidRDefault="002C67C7">
      <w:pPr>
        <w:pStyle w:val="ConsPlusTitle"/>
        <w:jc w:val="center"/>
      </w:pPr>
      <w:r>
        <w:t>от 11 мая 2017 г. N 177-п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ОБ УСЛОВИЯХ ПРОВЕДЕНИЯ ТОРГОВ НА ОСУЩЕСТВЛЕНИЕ СБОРА</w:t>
      </w:r>
    </w:p>
    <w:p w:rsidR="002C67C7" w:rsidRDefault="002C67C7">
      <w:pPr>
        <w:pStyle w:val="ConsPlusTitle"/>
        <w:jc w:val="center"/>
      </w:pPr>
      <w:r>
        <w:t>И 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5" w:history="1">
        <w:r>
          <w:rPr>
            <w:color w:val="0000FF"/>
          </w:rPr>
          <w:t>условия</w:t>
        </w:r>
      </w:hyperlink>
      <w:r>
        <w:t xml:space="preserve"> проведения торгов на осуществление сбора и транспортирования твердых коммунальных отходов согласно приложению к настоящему постановлению.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</w:pPr>
      <w:r>
        <w:t>Губернатор Новосибирской области</w:t>
      </w:r>
    </w:p>
    <w:p w:rsidR="002C67C7" w:rsidRDefault="002C67C7">
      <w:pPr>
        <w:pStyle w:val="ConsPlusNormal"/>
        <w:jc w:val="right"/>
      </w:pPr>
      <w:r>
        <w:t>В.Ф.ГОРОДЕЦКИЙ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  <w:outlineLvl w:val="0"/>
      </w:pPr>
      <w:r>
        <w:t>Приложение</w:t>
      </w:r>
    </w:p>
    <w:p w:rsidR="002C67C7" w:rsidRDefault="002C67C7">
      <w:pPr>
        <w:pStyle w:val="ConsPlusNormal"/>
        <w:jc w:val="right"/>
      </w:pPr>
      <w:r>
        <w:t>к постановлению</w:t>
      </w:r>
    </w:p>
    <w:p w:rsidR="002C67C7" w:rsidRDefault="002C67C7">
      <w:pPr>
        <w:pStyle w:val="ConsPlusNormal"/>
        <w:jc w:val="right"/>
      </w:pPr>
      <w:r>
        <w:t>Правительства Новосибирской области</w:t>
      </w:r>
    </w:p>
    <w:p w:rsidR="002C67C7" w:rsidRDefault="002C67C7">
      <w:pPr>
        <w:pStyle w:val="ConsPlusNormal"/>
        <w:jc w:val="right"/>
      </w:pPr>
      <w:r>
        <w:t>от 11.05.2017 N 177-п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Title"/>
        <w:jc w:val="center"/>
      </w:pPr>
      <w:bookmarkStart w:id="0" w:name="P25"/>
      <w:bookmarkEnd w:id="0"/>
      <w:r>
        <w:t>УСЛОВИЯ</w:t>
      </w:r>
    </w:p>
    <w:p w:rsidR="002C67C7" w:rsidRDefault="002C67C7">
      <w:pPr>
        <w:pStyle w:val="ConsPlusTitle"/>
        <w:jc w:val="center"/>
      </w:pPr>
      <w:r>
        <w:t>ПРОВЕДЕНИЯ ТОРГОВ НА ОСУЩЕСТВЛЕНИЕ СБОРА И</w:t>
      </w:r>
    </w:p>
    <w:p w:rsidR="002C67C7" w:rsidRDefault="002C67C7">
      <w:pPr>
        <w:pStyle w:val="ConsPlusTitle"/>
        <w:jc w:val="center"/>
      </w:pPr>
      <w:r>
        <w:t>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  <w:r>
        <w:t xml:space="preserve">1. Настоящие условия проведения торгов на осуществление сбора и транспортирования твердых коммунальных отходов (далее - Условия) разработаны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 (далее - Правила), </w:t>
      </w:r>
      <w:hyperlink r:id="rId10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и определяют условия проведения региональным оператором по обращению с твердыми коммунальными отходами (далее - региональный оператор) для организации на территории Новосибирской области торгов на осуществление сбора и транспортирования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lastRenderedPageBreak/>
        <w:t>2. Цены на услуги по сбору и транспортированию твердых коммунальных отходов для регионального оператора в Новосибирской области формируются по результатам торгов.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3. Торги проводятся в форме аукциона и являются открытыми по составу участников (далее - аукцион). По результатам проведения аукциона заключается договор на оказание услуг по сбору и транспортированию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4. Организатором аукциона является региональный оператор. Организатор аукциона разрабатывает и утверждает документацию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5. Документация об аукционе содержит: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сведения о предмете аукциона (лота), в том числе описание границы территории в пределах зоны деятельности регионального оператора, на которой оказываются услуги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" w:name="P35"/>
      <w:bookmarkEnd w:id="1"/>
      <w:r>
        <w:t>2)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3) сведения об источниках образования твердых коммунальных отходов и местах накопления твердых коммунальных отходов, в том числе о контейнерных площадках (при их наличии);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4) обязательства по оказанию услуг по сбору и транспортированию твердых коммунальных отходов, включая: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а) периодичность и время вывоза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б) места приема и передачи отходов, направления транспортирования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в) иные требования к сбору и транспортированию твердых коммунальных отходов, установленные в отношении регионального оператора в соглашении с министерством жилищно-коммунального хозяйства и энергетики Новосибирской области (далее - министерство);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2" w:name="P41"/>
      <w:bookmarkEnd w:id="2"/>
      <w:r>
        <w:t>5) применяемый способ коммерческого учета объема или массы отходов при их сборе и транспортировании;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3" w:name="P42"/>
      <w:bookmarkEnd w:id="3"/>
      <w:r>
        <w:t>6) сроки и порядок оплаты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7) порядок мониторинга региональным оператором качества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4" w:name="P44"/>
      <w:bookmarkEnd w:id="4"/>
      <w:r>
        <w:t>8)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9) требования к участникам аукциона, установленные </w:t>
      </w:r>
      <w:hyperlink w:anchor="P59" w:history="1">
        <w:r>
          <w:rPr>
            <w:color w:val="0000FF"/>
          </w:rPr>
          <w:t>пунктом 9</w:t>
        </w:r>
      </w:hyperlink>
      <w:r>
        <w:t xml:space="preserve"> настоящих Условий;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5" w:name="P46"/>
      <w:bookmarkEnd w:id="5"/>
      <w:r>
        <w:t>10) порядок, место, дата и время начала и окончания срока подачи заявок на участие в 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11) состав заявки на участие в аукционе, включая исчерпывающий перечень документов, представленных заявителями, порядок и срок отзыва заявок на участие в аукционе, порядок внесения изменений в эти заявки;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12) место, дата и время начала и окончания рассмотрения комиссией заявок на участие в </w:t>
      </w:r>
      <w:r>
        <w:lastRenderedPageBreak/>
        <w:t>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13) место, дата и время проведения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14) начальная цена предмета аукциона, размер шага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6" w:name="P51"/>
      <w:bookmarkEnd w:id="6"/>
      <w:r>
        <w:t>15) порядок расчета цены предмета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7" w:name="P52"/>
      <w:bookmarkEnd w:id="7"/>
      <w:r>
        <w:t>16) способ и размер обеспечения исполнения победителем аукциона или единственным участником обязательства по договору, порядок и срок его представления;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17) срок подписания договора;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18) проект договора (в случае проведения аукциона по нескольким лотам - проект договора в отношении каждого лота);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19) порядок, дата начала и окончания срока представления заявителям разъяснений положений документации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6. В целях формирования лотов зона деятельности регионального оператора должна быть разбита не менее чем на 3 лота (территории).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7. Региональный оператор вправе выделять в отдельные лоты услуги по сбору и транспортированию отдельных видов (классов опасности) твердых коммунальных отходов, образующихся на определенной территории в зоне деятельности регионального оператора, с учетом положений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04.05.2011 N 99-ФЗ "О лицензировании отдельных видов деятельности".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8. Предварительному согласованию с министерством подлежат предусмотренные документацией об аукционе условия проведения торгов, указанные в </w:t>
      </w:r>
      <w:hyperlink w:anchor="P35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41" w:history="1">
        <w:r>
          <w:rPr>
            <w:color w:val="0000FF"/>
          </w:rPr>
          <w:t>5</w:t>
        </w:r>
      </w:hyperlink>
      <w:r>
        <w:t xml:space="preserve">, </w:t>
      </w:r>
      <w:hyperlink w:anchor="P42" w:history="1">
        <w:r>
          <w:rPr>
            <w:color w:val="0000FF"/>
          </w:rPr>
          <w:t>6</w:t>
        </w:r>
      </w:hyperlink>
      <w:r>
        <w:t xml:space="preserve">, </w:t>
      </w:r>
      <w:hyperlink w:anchor="P44" w:history="1">
        <w:r>
          <w:rPr>
            <w:color w:val="0000FF"/>
          </w:rPr>
          <w:t>8</w:t>
        </w:r>
      </w:hyperlink>
      <w:r>
        <w:t xml:space="preserve"> - </w:t>
      </w:r>
      <w:hyperlink w:anchor="P46" w:history="1">
        <w:r>
          <w:rPr>
            <w:color w:val="0000FF"/>
          </w:rPr>
          <w:t>10</w:t>
        </w:r>
      </w:hyperlink>
      <w:r>
        <w:t xml:space="preserve">, </w:t>
      </w:r>
      <w:hyperlink w:anchor="P51" w:history="1">
        <w:r>
          <w:rPr>
            <w:color w:val="0000FF"/>
          </w:rPr>
          <w:t>15</w:t>
        </w:r>
      </w:hyperlink>
      <w:r>
        <w:t xml:space="preserve"> и </w:t>
      </w:r>
      <w:hyperlink w:anchor="P52" w:history="1">
        <w:r>
          <w:rPr>
            <w:color w:val="0000FF"/>
          </w:rPr>
          <w:t>16 пункта 5</w:t>
        </w:r>
      </w:hyperlink>
      <w:r>
        <w:t xml:space="preserve"> настоящих Условий.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8" w:name="P59"/>
      <w:bookmarkEnd w:id="8"/>
      <w:r>
        <w:t>9. Участником аукциона может быть индивидуальный предприниматель (юридическое лицо):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в отношении которого не проводится процедура ликвидации, не имеется решения арбитражного суда о ликвидации такого участника или решения арбитражного суда о признании заявителя банкротом и об открытии конкурсного производства;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2) деятельность которого не приостановлена в порядке, установленном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3) у которого отсутствуют просроченная задолженность по уплате налогов, сборов, пеней и штрафов за нарушение законодательства Российской Федерации о налогах и сборах и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аукциона, по данным бухгалтерской отчетности за последний отчетный период. Участник аукциона считается 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день рассмотрения заявки на участие в аукционе в </w:t>
      </w:r>
      <w:r>
        <w:lastRenderedPageBreak/>
        <w:t>определении поставщика (подрядчика, исполнителя) не принято;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4) у руководителя, членов коллегиального исполнительного органа и (или) главного бухгалтера которого отсутствует неснятая и (или) непогашенная судимость за преступления в сфере экономики;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5) у которого имеется лицензия на осуществление деятельности по сбору, транспортированию, обработке, утилизации, обезвреживанию, размещению отходов I - IV классов опасности с разрешенными видами деятельности - сбором и транспортированием отходов соответствующего вида и класса опасности, установленных организатором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6) информация о котором,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участника аукциона - юридического лица, отсутствует в реестре недобросовестных поставщиков (подрядчиков, исполнителей), предусмотренном </w:t>
      </w:r>
      <w:hyperlink r:id="rId13" w:history="1">
        <w:r>
          <w:rPr>
            <w:color w:val="0000FF"/>
          </w:rPr>
          <w:t>статьей 104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9" w:name="P66"/>
      <w:bookmarkEnd w:id="9"/>
      <w:r>
        <w:t xml:space="preserve">10. Министерство в течение 5 рабочих дней со дня получения от регионального оператора условий проведения торгов осуществляет оценку представленных региональным оператором условий проведения торгов с целью определения соответствия этих условий соглашению с региональным оператором,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</w:t>
      </w:r>
      <w:hyperlink r:id="rId14" w:history="1">
        <w:r>
          <w:rPr>
            <w:color w:val="0000FF"/>
          </w:rPr>
          <w:t>Правил</w:t>
        </w:r>
      </w:hyperlink>
      <w:r>
        <w:t xml:space="preserve"> и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течение одного рабочего дня со дня принятия такого решения.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0" w:name="P67"/>
      <w:bookmarkEnd w:id="10"/>
      <w:r>
        <w:t>11. В случае принятия министерством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министерство в течение 10 дней со дня получения такого решения, если более длительный срок не указан министерством.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12. Повторное предварительное согласование условий проведения торгов осуществляется в порядке, установленном </w:t>
      </w:r>
      <w:hyperlink w:anchor="P6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67" w:history="1">
        <w:r>
          <w:rPr>
            <w:color w:val="0000FF"/>
          </w:rPr>
          <w:t>11</w:t>
        </w:r>
      </w:hyperlink>
      <w:r>
        <w:t xml:space="preserve"> настоящих Условий.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11" w:name="_GoBack"/>
      <w:bookmarkEnd w:id="11"/>
    </w:p>
    <w:sectPr w:rsidR="00307139" w:rsidSect="0065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C7"/>
    <w:rsid w:val="00142CAF"/>
    <w:rsid w:val="001723FB"/>
    <w:rsid w:val="002C67C7"/>
    <w:rsid w:val="00307139"/>
    <w:rsid w:val="00474B64"/>
    <w:rsid w:val="00475860"/>
    <w:rsid w:val="00525F3A"/>
    <w:rsid w:val="005310B2"/>
    <w:rsid w:val="00547AAF"/>
    <w:rsid w:val="00765F27"/>
    <w:rsid w:val="009241F0"/>
    <w:rsid w:val="009A25F5"/>
    <w:rsid w:val="00C476E7"/>
    <w:rsid w:val="00C50EF1"/>
    <w:rsid w:val="00C72419"/>
    <w:rsid w:val="00E5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71ABC62291930BE303E5F724D6676608FF051B8E4706F8B27D930ED18C82B964C4093At5a3D" TargetMode="External"/><Relationship Id="rId13" Type="http://schemas.openxmlformats.org/officeDocument/2006/relationships/hyperlink" Target="consultantplus://offline/ref=F66A71ABC62291930BE303E5F724D6676608FC051F894706F8B27D930ED18C82B964C40C3850BA14tDa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6A71ABC62291930BE31DE8E148886E6D0BA50B19894C56A0E47BC451818AD7F924C2597B15B31CD23F9D7BtBa0D" TargetMode="External"/><Relationship Id="rId12" Type="http://schemas.openxmlformats.org/officeDocument/2006/relationships/hyperlink" Target="consultantplus://offline/ref=F66A71ABC62291930BE303E5F724D6676700FA071E8D4706F8B27D930EtDa1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A71ABC62291930BE303E5F724D6676608FA041E8E4706F8B27D930ED18C82B964C40C3851BE1CtDa0D" TargetMode="External"/><Relationship Id="rId11" Type="http://schemas.openxmlformats.org/officeDocument/2006/relationships/hyperlink" Target="consultantplus://offline/ref=F66A71ABC62291930BE303E5F724D6676601F30E18814706F8B27D930EtDa1D" TargetMode="External"/><Relationship Id="rId5" Type="http://schemas.openxmlformats.org/officeDocument/2006/relationships/hyperlink" Target="consultantplus://offline/ref=F66A71ABC62291930BE303E5F724D6676608FF051B8E4706F8B27D930ED18C82B964C4093At5a3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6A71ABC62291930BE31DE8E148886E6D0BA50B19894C56A0E47BC451818AD7F924C2597B15B31CD23F9D7BtBa0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6A71ABC62291930BE303E5F724D6676608FA041E8E4706F8B27D930ED18C82B964C40C3851BE1CtDa0D" TargetMode="External"/><Relationship Id="rId14" Type="http://schemas.openxmlformats.org/officeDocument/2006/relationships/hyperlink" Target="consultantplus://offline/ref=F66A71ABC62291930BE303E5F724D6676608FA041E8E4706F8B27D930ED18C82B964C40C3851BE1CtD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9844</Characters>
  <Application>Microsoft Office Word</Application>
  <DocSecurity>0</DocSecurity>
  <Lines>82</Lines>
  <Paragraphs>23</Paragraphs>
  <ScaleCrop>false</ScaleCrop>
  <Company>NSO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Пользователь Windows</cp:lastModifiedBy>
  <cp:revision>2</cp:revision>
  <dcterms:created xsi:type="dcterms:W3CDTF">2019-02-26T08:35:00Z</dcterms:created>
  <dcterms:modified xsi:type="dcterms:W3CDTF">2019-02-26T08:35:00Z</dcterms:modified>
</cp:coreProperties>
</file>